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-426" w:firstLine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Проект                                                                                                               </w:t>
      </w:r>
    </w:p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Местные нормативы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 xml:space="preserve"> градостроительного проектирования 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Червянского муниципального образования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 xml:space="preserve">Чунского района 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Иркутской области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Том 1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Основная часть</w:t>
      </w: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511791" w:rsidP="00A339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="0030746C" w:rsidRPr="0030746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.Ч</w:t>
      </w:r>
      <w:proofErr w:type="gramEnd"/>
      <w:r w:rsidR="0030746C" w:rsidRPr="0030746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ервянка</w:t>
      </w:r>
      <w:proofErr w:type="spellEnd"/>
    </w:p>
    <w:p w:rsidR="0030746C" w:rsidRPr="0030746C" w:rsidRDefault="0030746C" w:rsidP="00A339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2015г.</w:t>
      </w:r>
    </w:p>
    <w:p w:rsid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Default="003F5E36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Default="003F5E36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Pr="0030746C" w:rsidRDefault="003F5E36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Default="0030746C" w:rsidP="003F5E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339C1" w:rsidRDefault="00A339C1" w:rsidP="003F5E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339C1" w:rsidRDefault="00A339C1" w:rsidP="003F5E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339C1" w:rsidRPr="0030746C" w:rsidRDefault="00A339C1" w:rsidP="003F5E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433ADD" w:rsidRDefault="004A4B8E" w:rsidP="005D450D">
      <w:pPr>
        <w:widowControl w:val="0"/>
        <w:spacing w:after="100" w:afterAutospacing="1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Введение.……………….</w:t>
      </w:r>
      <w:r w:rsidR="0030746C" w:rsidRPr="0030746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………………………………</w:t>
      </w:r>
      <w:r w:rsid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</w:t>
      </w:r>
      <w:r w:rsidR="0030746C" w:rsidRPr="0030746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</w:t>
      </w:r>
      <w:r w:rsid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</w:t>
      </w:r>
      <w:r w:rsidR="0030746C" w:rsidRPr="0030746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….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433ADD" w:rsidRDefault="00A23EA8" w:rsidP="005D450D">
      <w:pPr>
        <w:widowControl w:val="0"/>
        <w:spacing w:after="100" w:afterAutospacing="1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433ADD" w:rsidRP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A4B8E" w:rsidRPr="00433ADD" w:rsidRDefault="004A4B8E" w:rsidP="005D450D">
      <w:pPr>
        <w:widowControl w:val="0"/>
        <w:spacing w:after="100" w:afterAutospacing="1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33ADD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  <w:r w:rsidR="00511791" w:rsidRPr="0043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ADD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433ADD">
        <w:rPr>
          <w:rFonts w:ascii="Times New Roman" w:hAnsi="Times New Roman" w:cs="Times New Roman"/>
          <w:b/>
          <w:sz w:val="28"/>
          <w:szCs w:val="28"/>
        </w:rPr>
        <w:t>…………</w:t>
      </w:r>
      <w:r w:rsidRPr="00433ADD">
        <w:rPr>
          <w:rFonts w:ascii="Times New Roman" w:hAnsi="Times New Roman" w:cs="Times New Roman"/>
          <w:b/>
          <w:sz w:val="28"/>
          <w:szCs w:val="28"/>
        </w:rPr>
        <w:t>……</w:t>
      </w:r>
      <w:r w:rsidR="003F5E36">
        <w:rPr>
          <w:rFonts w:ascii="Times New Roman" w:hAnsi="Times New Roman" w:cs="Times New Roman"/>
          <w:b/>
          <w:sz w:val="28"/>
          <w:szCs w:val="28"/>
        </w:rPr>
        <w:t>...</w:t>
      </w:r>
      <w:r w:rsidRPr="0043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E36">
        <w:rPr>
          <w:rFonts w:ascii="Times New Roman" w:hAnsi="Times New Roman" w:cs="Times New Roman"/>
          <w:b/>
          <w:sz w:val="28"/>
          <w:szCs w:val="28"/>
        </w:rPr>
        <w:t>4</w:t>
      </w:r>
    </w:p>
    <w:p w:rsidR="00433ADD" w:rsidRDefault="00511791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Исходная информация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</w:t>
      </w:r>
      <w:r w:rsidR="00433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……………….. 6</w:t>
      </w:r>
    </w:p>
    <w:p w:rsidR="00433ADD" w:rsidRPr="00433ADD" w:rsidRDefault="00A23EA8" w:rsidP="005D450D">
      <w:pPr>
        <w:widowControl w:val="0"/>
        <w:spacing w:after="100" w:afterAutospacing="1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433ADD" w:rsidRPr="00433A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3ADD" w:rsidRPr="00433ADD" w:rsidRDefault="00433ADD" w:rsidP="005D450D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Расчетные показатели в области </w:t>
      </w:r>
      <w:proofErr w:type="spellStart"/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</w:t>
      </w:r>
      <w:proofErr w:type="spellEnd"/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-, тепло</w:t>
      </w:r>
      <w:proofErr w:type="gramStart"/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-, </w:t>
      </w:r>
      <w:proofErr w:type="spellStart"/>
      <w:proofErr w:type="gramEnd"/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</w:t>
      </w:r>
      <w:proofErr w:type="spellEnd"/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433ADD" w:rsidRDefault="00433ADD" w:rsidP="005D450D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водоснабжения населения, водоотведения</w:t>
      </w:r>
      <w:r w:rsidRPr="00433ADD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Pr="000F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C1">
        <w:rPr>
          <w:rFonts w:ascii="Times New Roman" w:hAnsi="Times New Roman" w:cs="Times New Roman"/>
          <w:b/>
          <w:sz w:val="28"/>
          <w:szCs w:val="28"/>
        </w:rPr>
        <w:t>7</w:t>
      </w:r>
    </w:p>
    <w:p w:rsidR="000F5387" w:rsidRDefault="000F5387" w:rsidP="005D450D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Расчетные показатели в области автомобильных дорог</w:t>
      </w:r>
    </w:p>
    <w:p w:rsidR="00433ADD" w:rsidRPr="000F5387" w:rsidRDefault="000F5387" w:rsidP="005D450D">
      <w:pPr>
        <w:widowControl w:val="0"/>
        <w:spacing w:after="100" w:afterAutospacing="1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F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 10</w:t>
      </w:r>
    </w:p>
    <w:p w:rsidR="000F5387" w:rsidRDefault="000F5387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Расчетные показатели в области физической культуры</w:t>
      </w:r>
    </w:p>
    <w:p w:rsidR="00433ADD" w:rsidRPr="000F5387" w:rsidRDefault="000F5387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массового спорта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</w:t>
      </w:r>
      <w:r w:rsidR="003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</w:t>
      </w:r>
      <w:r w:rsidR="003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 10</w:t>
      </w:r>
    </w:p>
    <w:p w:rsidR="003F5E36" w:rsidRPr="003F5E36" w:rsidRDefault="003F5E36" w:rsidP="005D450D">
      <w:pPr>
        <w:widowControl w:val="0"/>
        <w:tabs>
          <w:tab w:val="left" w:pos="1862"/>
        </w:tabs>
        <w:spacing w:after="100" w:afterAutospacing="1" w:line="322" w:lineRule="exact"/>
        <w:ind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Расчетные показатели в иных областях в связи с решением вопросов местного значения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………………………………………….. 11</w:t>
      </w:r>
    </w:p>
    <w:p w:rsidR="003F5E36" w:rsidRDefault="003F5E36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Расчетные показатели для объектов благоустройства</w:t>
      </w:r>
    </w:p>
    <w:p w:rsidR="003F5E36" w:rsidRDefault="003F5E36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F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………………………………………………… 14</w:t>
      </w:r>
    </w:p>
    <w:p w:rsidR="003F5E36" w:rsidRDefault="00A23EA8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ГЛАВА</w:t>
      </w:r>
      <w:r w:rsidR="003F5E3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</w:t>
      </w:r>
      <w:r w:rsidR="003F5E3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>III</w:t>
      </w:r>
      <w:r w:rsidR="003F5E36" w:rsidRPr="003F5E3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.</w:t>
      </w:r>
    </w:p>
    <w:p w:rsidR="003F5E36" w:rsidRDefault="003F5E36" w:rsidP="005D450D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F5E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Нормативно-правовая база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…………………………………………… 15</w:t>
      </w:r>
    </w:p>
    <w:p w:rsidR="004A4B8E" w:rsidRDefault="004A4B8E" w:rsidP="005D450D">
      <w:pPr>
        <w:widowControl w:val="0"/>
        <w:spacing w:after="100" w:afterAutospacing="1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Pr="0030746C" w:rsidRDefault="003F5E36" w:rsidP="004A4B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Default="003F5E36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Default="003F5E36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F5E36" w:rsidRPr="0030746C" w:rsidRDefault="003F5E36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746C" w:rsidRPr="0030746C" w:rsidRDefault="0030746C" w:rsidP="0030746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30746C" w:rsidRPr="0030746C" w:rsidRDefault="000F5387" w:rsidP="000F5387">
      <w:pPr>
        <w:widowControl w:val="0"/>
        <w:spacing w:after="0" w:line="240" w:lineRule="auto"/>
        <w:ind w:left="-567" w:hanging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30746C"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Нормативы градостроительного проектирования включают в себя: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cr/>
        <w:t xml:space="preserve">      Расчетные показатели минимально допустимого уровня обеспеченности объектами местного значения поселения,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 опубликования муниципальных правовых актов, иной официальной информации, не менее чем за два месяца </w:t>
      </w:r>
      <w:proofErr w:type="gramStart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утверждения.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В качестве исходных данных применялись сведения Федеральной службы государственной статистики и планов социально-экономического развития Червянского муниципального образования на 2015-2017 год.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1)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социально-демографического состава и плотности населения поселения;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2)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планов и программ комплексного социально-экономического развития поселения;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3)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предложений органов местного самоуправления и заинтересованных лиц.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433ADD" w:rsidRDefault="00433ADD" w:rsidP="000F5387">
      <w:pPr>
        <w:pStyle w:val="ab"/>
        <w:ind w:left="-567"/>
        <w:jc w:val="center"/>
        <w:rPr>
          <w:rFonts w:ascii="Times New Roman" w:hAnsi="Times New Roman" w:cs="Times New Roman"/>
        </w:rPr>
      </w:pPr>
    </w:p>
    <w:p w:rsidR="003F5E36" w:rsidRDefault="003F5E36" w:rsidP="000F5387">
      <w:pPr>
        <w:pStyle w:val="ab"/>
        <w:ind w:left="-567"/>
        <w:jc w:val="center"/>
        <w:rPr>
          <w:rFonts w:ascii="Times New Roman" w:hAnsi="Times New Roman" w:cs="Times New Roman"/>
          <w:b/>
        </w:rPr>
      </w:pPr>
    </w:p>
    <w:p w:rsidR="0030746C" w:rsidRPr="00433ADD" w:rsidRDefault="00A23EA8" w:rsidP="000F5387">
      <w:pPr>
        <w:pStyle w:val="ab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ГЛАВА</w:t>
      </w:r>
      <w:r w:rsidR="00433ADD" w:rsidRPr="00433ADD">
        <w:rPr>
          <w:rFonts w:ascii="Times New Roman" w:hAnsi="Times New Roman" w:cs="Times New Roman"/>
          <w:b/>
        </w:rPr>
        <w:t xml:space="preserve">  </w:t>
      </w:r>
      <w:r w:rsidR="00433ADD" w:rsidRPr="00433ADD">
        <w:rPr>
          <w:rFonts w:ascii="Times New Roman" w:hAnsi="Times New Roman" w:cs="Times New Roman"/>
          <w:b/>
          <w:lang w:val="en-US"/>
        </w:rPr>
        <w:t>I</w:t>
      </w:r>
      <w:r w:rsidR="00433ADD" w:rsidRPr="00433ADD">
        <w:rPr>
          <w:rFonts w:ascii="Times New Roman" w:hAnsi="Times New Roman" w:cs="Times New Roman"/>
          <w:b/>
        </w:rPr>
        <w:t>.</w:t>
      </w:r>
      <w:r w:rsidR="00433ADD" w:rsidRPr="00433ADD">
        <w:rPr>
          <w:rFonts w:ascii="Times New Roman" w:hAnsi="Times New Roman" w:cs="Times New Roman"/>
        </w:rPr>
        <w:t xml:space="preserve"> </w:t>
      </w:r>
      <w:r w:rsidR="00433ADD">
        <w:rPr>
          <w:rFonts w:ascii="Times New Roman" w:hAnsi="Times New Roman" w:cs="Times New Roman"/>
        </w:rPr>
        <w:t xml:space="preserve"> </w:t>
      </w:r>
      <w:r w:rsidR="0030746C" w:rsidRPr="00433ADD">
        <w:rPr>
          <w:rFonts w:ascii="Times New Roman" w:hAnsi="Times New Roman" w:cs="Times New Roman"/>
          <w:b/>
        </w:rPr>
        <w:t>НАЗНАЧЕНИЕ И ОБЛАСТЬ ПРИМЕНЕНИЯ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-, тепло -</w:t>
      </w:r>
      <w:proofErr w:type="gramStart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и водоснабжение населения, водоотведение;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автомобильные дороги местного значения;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муниципальный жилищный фонд;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физическая культура и массовый спорт;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объектами благоустройства территории;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иные области в связи с решением вопросов местного значения поселения,</w:t>
      </w:r>
    </w:p>
    <w:p w:rsidR="0030746C" w:rsidRPr="0030746C" w:rsidRDefault="0030746C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0746C" w:rsidRPr="0030746C" w:rsidRDefault="004A4B8E" w:rsidP="000F5387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46C"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30746C" w:rsidRPr="0030746C" w:rsidRDefault="004A4B8E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30746C"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30746C" w:rsidRPr="0030746C" w:rsidRDefault="004A4B8E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30746C"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A4B8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Нормативами расчетные показатели минимально 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46C" w:rsidRPr="0030746C" w:rsidRDefault="0030746C" w:rsidP="000F5387">
      <w:pPr>
        <w:widowControl w:val="0"/>
        <w:spacing w:after="0" w:line="322" w:lineRule="exact"/>
        <w:ind w:left="-567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A2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РАСЧЕТНЫХ ПОКАЗАТЕЛЕЙ</w:t>
      </w:r>
    </w:p>
    <w:p w:rsidR="0030746C" w:rsidRPr="0030746C" w:rsidRDefault="0030746C" w:rsidP="000F5387">
      <w:pPr>
        <w:widowControl w:val="0"/>
        <w:spacing w:after="0" w:line="322" w:lineRule="exact"/>
        <w:ind w:left="-567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46C" w:rsidRPr="0030746C" w:rsidRDefault="0030746C" w:rsidP="000F5387">
      <w:pPr>
        <w:widowControl w:val="0"/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Применение Нормативов обязательно для всех субъектов градостроительных отношений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подготовке проекта генерального плана Червянского муниципального образования, документации по планировке территории и правил и проектов благоустройства территории.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Местные нормативы градостроительного проектирования подлежат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30746C" w:rsidRPr="0030746C" w:rsidRDefault="0030746C" w:rsidP="000F5387">
      <w:pPr>
        <w:widowControl w:val="0"/>
        <w:tabs>
          <w:tab w:val="left" w:pos="1548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4A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1)администрацией Червянского муниципального образования:</w:t>
      </w:r>
    </w:p>
    <w:p w:rsidR="0030746C" w:rsidRPr="0030746C" w:rsidRDefault="0030746C" w:rsidP="000F5387">
      <w:pPr>
        <w:widowControl w:val="0"/>
        <w:tabs>
          <w:tab w:val="left" w:pos="1476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подготовке и утверждении генерального плана поселения;</w:t>
      </w:r>
    </w:p>
    <w:p w:rsidR="0030746C" w:rsidRPr="0030746C" w:rsidRDefault="0030746C" w:rsidP="000F5387">
      <w:pPr>
        <w:widowControl w:val="0"/>
        <w:tabs>
          <w:tab w:val="left" w:pos="1476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внесении изменений в генеральный план поселения;</w:t>
      </w:r>
    </w:p>
    <w:p w:rsidR="0030746C" w:rsidRPr="0030746C" w:rsidRDefault="0030746C" w:rsidP="000F5387">
      <w:pPr>
        <w:widowControl w:val="0"/>
        <w:tabs>
          <w:tab w:val="left" w:pos="1683"/>
        </w:tabs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30746C" w:rsidRPr="0030746C" w:rsidRDefault="0030746C" w:rsidP="000F5387">
      <w:pPr>
        <w:widowControl w:val="0"/>
        <w:tabs>
          <w:tab w:val="left" w:pos="1746"/>
        </w:tabs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30746C" w:rsidRPr="0030746C" w:rsidRDefault="0030746C" w:rsidP="000F5387">
      <w:pPr>
        <w:widowControl w:val="0"/>
        <w:tabs>
          <w:tab w:val="left" w:pos="1611"/>
        </w:tabs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подготовке в соответствии с пунктом 4 части 3 статьи 33 Градостроительного кодекса Российской Федерации предложений </w:t>
      </w:r>
      <w:proofErr w:type="gramStart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внесений</w:t>
      </w:r>
      <w:proofErr w:type="gramEnd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правила землепользования и застройки поселения;</w:t>
      </w:r>
    </w:p>
    <w:p w:rsidR="0030746C" w:rsidRPr="0030746C" w:rsidRDefault="0030746C" w:rsidP="000F5387">
      <w:pPr>
        <w:widowControl w:val="0"/>
        <w:tabs>
          <w:tab w:val="left" w:pos="1525"/>
        </w:tabs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30746C" w:rsidRPr="0030746C" w:rsidRDefault="0030746C" w:rsidP="000F5387">
      <w:pPr>
        <w:widowControl w:val="0"/>
        <w:tabs>
          <w:tab w:val="left" w:pos="1418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 подготовке правил и проектов благоустройства территории;</w:t>
      </w:r>
    </w:p>
    <w:p w:rsidR="0030746C" w:rsidRPr="0030746C" w:rsidRDefault="0030746C" w:rsidP="000F5387">
      <w:pPr>
        <w:widowControl w:val="0"/>
        <w:tabs>
          <w:tab w:val="left" w:pos="1418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Чунского районного муниципального образования:</w:t>
      </w:r>
    </w:p>
    <w:p w:rsidR="0030746C" w:rsidRPr="0030746C" w:rsidRDefault="0030746C" w:rsidP="000F5387">
      <w:pPr>
        <w:widowControl w:val="0"/>
        <w:tabs>
          <w:tab w:val="left" w:pos="1688"/>
        </w:tabs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подготовке и утверждении документации по планировке территории, подготавливаемой на основании схемы территориального планирования Чунского района;</w:t>
      </w:r>
    </w:p>
    <w:p w:rsidR="0030746C" w:rsidRPr="0030746C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A4B8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7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4B8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кой Федерации;</w:t>
      </w:r>
    </w:p>
    <w:p w:rsidR="004A4B8E" w:rsidRDefault="0030746C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A4B8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074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3)федеральными органами исполнительной власти:</w:t>
      </w:r>
      <w:bookmarkEnd w:id="0"/>
    </w:p>
    <w:p w:rsidR="00183B8E" w:rsidRDefault="00183B8E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117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4A4B8E" w:rsidRPr="00183B8E" w:rsidRDefault="00183B8E" w:rsidP="000F5387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117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</w:p>
    <w:p w:rsidR="00183B8E" w:rsidRDefault="0030746C" w:rsidP="000F5387">
      <w:pPr>
        <w:widowControl w:val="0"/>
        <w:tabs>
          <w:tab w:val="left" w:pos="1683"/>
        </w:tabs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4)органами исполнительной власти Иркутской области:</w:t>
      </w:r>
      <w:bookmarkEnd w:id="1"/>
    </w:p>
    <w:p w:rsidR="0030746C" w:rsidRPr="0030746C" w:rsidRDefault="0030746C" w:rsidP="000F5387">
      <w:pPr>
        <w:widowControl w:val="0"/>
        <w:tabs>
          <w:tab w:val="left" w:pos="1683"/>
        </w:tabs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30746C" w:rsidRPr="0030746C" w:rsidRDefault="0030746C" w:rsidP="000F5387">
      <w:pPr>
        <w:widowControl w:val="0"/>
        <w:tabs>
          <w:tab w:val="left" w:pos="1683"/>
        </w:tabs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511791" w:rsidRDefault="0030746C" w:rsidP="000F5387">
      <w:pPr>
        <w:keepNext/>
        <w:keepLines/>
        <w:widowControl w:val="0"/>
        <w:tabs>
          <w:tab w:val="left" w:pos="1558"/>
        </w:tabs>
        <w:spacing w:after="0" w:line="322" w:lineRule="exact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3"/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5)лицами, с которыми заключены договора</w:t>
      </w:r>
      <w:bookmarkEnd w:id="2"/>
    </w:p>
    <w:p w:rsidR="0030746C" w:rsidRPr="00511791" w:rsidRDefault="0030746C" w:rsidP="000F5387">
      <w:pPr>
        <w:keepNext/>
        <w:keepLines/>
        <w:widowControl w:val="0"/>
        <w:tabs>
          <w:tab w:val="left" w:pos="1558"/>
        </w:tabs>
        <w:spacing w:after="0" w:line="322" w:lineRule="exact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развитии застроенной территории;</w:t>
      </w:r>
    </w:p>
    <w:p w:rsidR="0030746C" w:rsidRPr="0030746C" w:rsidRDefault="0030746C" w:rsidP="000F5387">
      <w:pPr>
        <w:widowControl w:val="0"/>
        <w:tabs>
          <w:tab w:val="left" w:pos="1481"/>
        </w:tabs>
        <w:spacing w:after="0" w:line="322" w:lineRule="exact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комплексном освоении территории;</w:t>
      </w:r>
    </w:p>
    <w:p w:rsidR="0030746C" w:rsidRPr="0030746C" w:rsidRDefault="0030746C" w:rsidP="000F5387">
      <w:pPr>
        <w:widowControl w:val="0"/>
        <w:tabs>
          <w:tab w:val="left" w:pos="1481"/>
        </w:tabs>
        <w:spacing w:after="0" w:line="322" w:lineRule="exact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комплексном освоении территории в целях жилищного строительства;</w:t>
      </w:r>
    </w:p>
    <w:p w:rsidR="0030746C" w:rsidRPr="0030746C" w:rsidRDefault="0030746C" w:rsidP="000F5387">
      <w:pPr>
        <w:widowControl w:val="0"/>
        <w:tabs>
          <w:tab w:val="left" w:pos="1578"/>
        </w:tabs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комплексном освоении территории в целях строительства жилья экономического класса.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документах территориального планирования и документации по планировке территории.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подлежат применению органами местного самоуправления Червянского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местных нормативов осуществляет уполномоченный   орган местного самоуправления.</w:t>
      </w:r>
    </w:p>
    <w:p w:rsidR="0030746C" w:rsidRPr="0030746C" w:rsidRDefault="0030746C" w:rsidP="000F5387">
      <w:pPr>
        <w:widowControl w:val="0"/>
        <w:spacing w:after="0" w:line="322" w:lineRule="exact"/>
        <w:ind w:left="-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не регламентируют положения по безопасности определяемые законодательством о техническом регулировании и    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30746C" w:rsidRPr="0030746C" w:rsidRDefault="0030746C" w:rsidP="000F5387">
      <w:pPr>
        <w:keepNext/>
        <w:keepLines/>
        <w:widowControl w:val="0"/>
        <w:tabs>
          <w:tab w:val="left" w:pos="445"/>
        </w:tabs>
        <w:spacing w:after="306" w:line="270" w:lineRule="exact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6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1179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074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Термины, определения и понятия, используемые в настоящих 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11791" w:rsidRDefault="0030746C" w:rsidP="000F5387">
      <w:pPr>
        <w:widowControl w:val="0"/>
        <w:spacing w:after="0" w:line="270" w:lineRule="exact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30746C" w:rsidRPr="0030746C" w:rsidRDefault="0030746C" w:rsidP="000F5387">
      <w:pPr>
        <w:widowControl w:val="0"/>
        <w:spacing w:after="0" w:line="270" w:lineRule="exac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ИСХОДНАЯ ИНФОРМАЦИЯ</w:t>
      </w:r>
    </w:p>
    <w:p w:rsidR="0030746C" w:rsidRPr="0030746C" w:rsidRDefault="00511791" w:rsidP="000F5387">
      <w:pPr>
        <w:spacing w:before="120" w:after="6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Червянское муниципальное образование расположено в восточной части Чунского района Иркутской области.  С восточной, северо-западной стороны Поселение граничит с Красноярским краем, на юго-западе – с </w:t>
      </w:r>
      <w:proofErr w:type="spell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Бунбуйским</w:t>
      </w:r>
      <w:proofErr w:type="spell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 на юге – с Чунским муниципальным образованием.</w:t>
      </w:r>
      <w:r w:rsidR="0030746C" w:rsidRPr="003074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30746C" w:rsidRPr="0030746C" w:rsidRDefault="00511791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Червянского муниципального образования составляет  476814 га. Численность населения </w:t>
      </w:r>
      <w:proofErr w:type="gram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 составляла 252 человека. Административным центром и единственным населенным пунктом поселения является село Червянка. Внешние транспортные связи осуществляются по автомобильной дороге общего пользования регионального значения </w:t>
      </w:r>
      <w:proofErr w:type="spell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Седаново</w:t>
      </w:r>
      <w:proofErr w:type="spell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</w:t>
      </w:r>
      <w:proofErr w:type="spell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сети автомобильных дорог местного значения муниципального района.</w:t>
      </w:r>
    </w:p>
    <w:p w:rsidR="0030746C" w:rsidRPr="0030746C" w:rsidRDefault="00511791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территории муниципального образования занимают леса и водные объекты. Основными водными артериями являются: реки </w:t>
      </w:r>
      <w:proofErr w:type="gram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</w:t>
      </w:r>
      <w:proofErr w:type="gram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Педутка</w:t>
      </w:r>
      <w:proofErr w:type="spell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Карагайма</w:t>
      </w:r>
      <w:proofErr w:type="spellEnd"/>
      <w:r w:rsidR="0030746C"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жителей Червянского муниципального образования является лесозаготовка и переработка древесины, а также охотничий промысел, рыболовство. 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годовых температур воздуха, суровой, продолжительной зимой и жарким коротким летом. 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в январе минус 19</w:t>
      </w:r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температура достигает до минус 53</w:t>
      </w:r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летом плюс 37°С. Амплитуда колебания её составляет в среднем 85°С.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экономики Червянского муниципального образования составляют лесозаготовительные предприятия.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СТП Чунского района жилищный фонд Червянского муниципального образования на 01.01.2011 г. составлял 6,6 тыс. кв. м общей площади. Средняя жилищная обеспеченность – 21,4 кв. м общей площади на человека.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Территория Червянского муниципального образования расположена в северной части Чунского района Иркутской области. В </w:t>
      </w:r>
      <w:proofErr w:type="spellStart"/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западной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села Червянка расположен недействующий аэродром регионального значения.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Червянского муниципального образования  проходят автомобильные дороги общего пользования, соответствующие классу "обычная автомобильная дорога":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регионального значения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Седаново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4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продолжительностью  в границах поселения 93,5 км;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местного значения </w:t>
      </w:r>
      <w:r w:rsidRPr="003074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протяженностью 175,7 км.</w:t>
      </w:r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на территориях с. Червянка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  <w:bookmarkStart w:id="3" w:name="bookmark4"/>
    </w:p>
    <w:p w:rsidR="0030746C" w:rsidRPr="0030746C" w:rsidRDefault="0030746C" w:rsidP="000F5387">
      <w:pPr>
        <w:spacing w:before="120"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A23EA8" w:rsidP="000F5387">
      <w:pPr>
        <w:keepNext/>
        <w:keepLines/>
        <w:widowControl w:val="0"/>
        <w:tabs>
          <w:tab w:val="left" w:pos="445"/>
        </w:tabs>
        <w:spacing w:after="306" w:line="270" w:lineRule="exac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ГЛАВА</w:t>
      </w:r>
      <w:r w:rsidR="00433ADD" w:rsidRPr="00433ADD">
        <w:rPr>
          <w:rFonts w:ascii="Times New Roman" w:hAnsi="Times New Roman" w:cs="Times New Roman"/>
          <w:b/>
        </w:rPr>
        <w:t xml:space="preserve">  </w:t>
      </w:r>
      <w:r w:rsidR="00433ADD" w:rsidRPr="00433ADD">
        <w:rPr>
          <w:rFonts w:ascii="Times New Roman" w:hAnsi="Times New Roman" w:cs="Times New Roman"/>
          <w:b/>
          <w:lang w:val="en-US"/>
        </w:rPr>
        <w:t>I</w:t>
      </w:r>
      <w:r w:rsidR="00433ADD">
        <w:rPr>
          <w:rFonts w:ascii="Times New Roman" w:hAnsi="Times New Roman" w:cs="Times New Roman"/>
          <w:b/>
          <w:lang w:val="en-US"/>
        </w:rPr>
        <w:t>I</w:t>
      </w:r>
      <w:r w:rsidR="00433ADD" w:rsidRPr="00433ADD">
        <w:rPr>
          <w:rFonts w:ascii="Times New Roman" w:hAnsi="Times New Roman" w:cs="Times New Roman"/>
          <w:b/>
        </w:rPr>
        <w:t>.</w:t>
      </w:r>
      <w:r w:rsidR="00433ADD" w:rsidRPr="00A339C1">
        <w:rPr>
          <w:rFonts w:ascii="Times New Roman" w:hAnsi="Times New Roman" w:cs="Times New Roman"/>
          <w:b/>
        </w:rPr>
        <w:t xml:space="preserve"> </w:t>
      </w:r>
      <w:r w:rsidR="0030746C" w:rsidRPr="0030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ОСНОВНАЯ ЧАСТЬ</w:t>
      </w:r>
      <w:bookmarkEnd w:id="3"/>
    </w:p>
    <w:p w:rsidR="0030746C" w:rsidRPr="0030746C" w:rsidRDefault="0030746C" w:rsidP="000F5387">
      <w:pPr>
        <w:keepNext/>
        <w:keepLines/>
        <w:widowControl w:val="0"/>
        <w:tabs>
          <w:tab w:val="left" w:pos="2310"/>
        </w:tabs>
        <w:spacing w:after="240" w:line="322" w:lineRule="exact"/>
        <w:ind w:left="-567" w:right="1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5"/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ПОКАЗАТЕЛИ В ОБЛАСТИ ЭЛЕКТР</w:t>
      </w:r>
      <w:proofErr w:type="gramStart"/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ТЕПЛО -, ГАЗО- И ВОДОСНАБЖЕНИЯ НАСЕЛЕНИЯ, ВОДООТВЕДЕНИЯ</w:t>
      </w:r>
      <w:bookmarkEnd w:id="4"/>
    </w:p>
    <w:p w:rsidR="0030746C" w:rsidRPr="0030746C" w:rsidRDefault="0030746C" w:rsidP="000F5387">
      <w:pPr>
        <w:widowControl w:val="0"/>
        <w:spacing w:after="0" w:line="322" w:lineRule="exact"/>
        <w:ind w:left="-567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населенных пунктов Червянского сельского поселения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тепл</w:t>
      </w:r>
      <w:proofErr w:type="gramStart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30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0746C" w:rsidRPr="0030746C" w:rsidRDefault="0030746C" w:rsidP="0030746C">
      <w:pPr>
        <w:widowControl w:val="0"/>
        <w:spacing w:after="0"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030" w:type="dxa"/>
        <w:jc w:val="center"/>
        <w:tblInd w:w="-459" w:type="dxa"/>
        <w:tblLayout w:type="fixed"/>
        <w:tblLook w:val="04A0"/>
      </w:tblPr>
      <w:tblGrid>
        <w:gridCol w:w="283"/>
        <w:gridCol w:w="2269"/>
        <w:gridCol w:w="283"/>
        <w:gridCol w:w="284"/>
        <w:gridCol w:w="1984"/>
        <w:gridCol w:w="426"/>
        <w:gridCol w:w="2126"/>
        <w:gridCol w:w="142"/>
        <w:gridCol w:w="2233"/>
      </w:tblGrid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видов объектов местного значения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Расчетные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объектами</w:t>
            </w:r>
          </w:p>
        </w:tc>
        <w:tc>
          <w:tcPr>
            <w:tcW w:w="2694" w:type="dxa"/>
            <w:gridSpan w:val="3"/>
          </w:tcPr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Расчетные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территориальной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доступности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23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2551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Годовое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потребление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сектора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(без отопления и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горячего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водоснабжения):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I - 2000000 кВт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/год;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II -2300000 кВт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/год;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Объекты 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подключения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расположены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пунктов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</w:p>
        </w:tc>
        <w:tc>
          <w:tcPr>
            <w:tcW w:w="2233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проекта генерального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плана поселения,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проекта планировки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территории, схемы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Учитываются при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подготовке программ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коммунальной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инфраструк</w:t>
            </w:r>
            <w:proofErr w:type="spell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туры поселения,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согласовании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инвестиционных программ субъектов естественных монополий.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показатели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определении минимального обеспечения электроснабжением населения поселения, без учета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7" w:type="dxa"/>
            <w:gridSpan w:val="8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применения: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поселения: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показатель I применяется в качестве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(минимального);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показатель II применяется в качестве расчетного (на период до 2034 года);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теплоснабжения</w:t>
            </w:r>
            <w:proofErr w:type="gramEnd"/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включая горячее водоснабжение</w:t>
            </w:r>
          </w:p>
        </w:tc>
        <w:tc>
          <w:tcPr>
            <w:tcW w:w="7195" w:type="dxa"/>
            <w:gridSpan w:val="6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населенных пунктов не предусмотрено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газоснабжения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6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Газификация населенных пунктов не предусмотрена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водоснабжения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холодной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водой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хозяйственные нужды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Годовое </w:t>
            </w:r>
            <w:proofErr w:type="spellStart"/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водопотреблние</w:t>
            </w:r>
            <w:proofErr w:type="spellEnd"/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I- 30748 м3/год;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II- 35000 м3/год.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подключения </w:t>
            </w:r>
            <w:proofErr w:type="spellStart"/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водоколонки</w:t>
            </w:r>
            <w:proofErr w:type="spellEnd"/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объекты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</w:t>
            </w: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 подачи воды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- 100%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</w:t>
            </w:r>
          </w:p>
          <w:p w:rsidR="0030746C" w:rsidRPr="0030746C" w:rsidRDefault="0030746C" w:rsidP="0030746C">
            <w:pPr>
              <w:widowControl w:val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поселения.</w:t>
            </w:r>
          </w:p>
        </w:tc>
        <w:tc>
          <w:tcPr>
            <w:tcW w:w="2126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30746C" w:rsidRPr="0030746C" w:rsidRDefault="0030746C" w:rsidP="0030746C">
            <w:pPr>
              <w:widowControl w:val="0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</w:t>
            </w: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генерального плана поселения, проекта планировки территории, схемы водоснабжения 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показатели применяются без учета водоснабжения производственных, социально-бытовых, административных и других </w:t>
            </w: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объетов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а также для поливки приусадебных участков и территорий общего пользования.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7" w:type="dxa"/>
            <w:gridSpan w:val="8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применения: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поселения:</w:t>
            </w:r>
          </w:p>
          <w:p w:rsidR="0030746C" w:rsidRPr="0030746C" w:rsidRDefault="0030746C" w:rsidP="0030746C">
            <w:pPr>
              <w:widowControl w:val="0"/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I применяется в качестве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(минимального);</w:t>
            </w:r>
          </w:p>
          <w:p w:rsidR="0030746C" w:rsidRPr="0030746C" w:rsidRDefault="0030746C" w:rsidP="0030746C">
            <w:pPr>
              <w:widowControl w:val="0"/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применяется на расчетный период.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  <w:tr w:rsidR="0030746C" w:rsidRPr="0030746C" w:rsidTr="004A4B8E">
        <w:trPr>
          <w:jc w:val="center"/>
        </w:trPr>
        <w:tc>
          <w:tcPr>
            <w:tcW w:w="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gridSpan w:val="3"/>
          </w:tcPr>
          <w:p w:rsidR="0030746C" w:rsidRPr="0030746C" w:rsidRDefault="0030746C" w:rsidP="0030746C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5"/>
          </w:tcPr>
          <w:p w:rsidR="0030746C" w:rsidRPr="0030746C" w:rsidRDefault="0030746C" w:rsidP="0030746C">
            <w:pPr>
              <w:widowControl w:val="0"/>
              <w:spacing w:line="322" w:lineRule="exact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населенных пунктов не предусмотрено</w:t>
            </w:r>
          </w:p>
        </w:tc>
      </w:tr>
    </w:tbl>
    <w:p w:rsidR="0030746C" w:rsidRPr="0030746C" w:rsidRDefault="0030746C" w:rsidP="0030746C">
      <w:pPr>
        <w:widowControl w:val="0"/>
        <w:spacing w:after="0"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spacing w:after="240" w:line="322" w:lineRule="exact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="00A339C1"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ПОКАЗАТЕЛИ В ОБЛАСТИ АВТОМОБИЛЬНЫХ ДОРОГ МЕСТНОГО ЗНАЧЕНИЯ</w:t>
      </w:r>
    </w:p>
    <w:p w:rsidR="0030746C" w:rsidRPr="0030746C" w:rsidRDefault="0030746C" w:rsidP="0030746C">
      <w:pPr>
        <w:widowControl w:val="0"/>
        <w:spacing w:after="0" w:line="322" w:lineRule="exact"/>
        <w:ind w:left="-567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населенных пунктов Червянского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30746C" w:rsidRPr="0030746C" w:rsidTr="004A4B8E">
        <w:tc>
          <w:tcPr>
            <w:tcW w:w="425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видов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28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объектами </w:t>
            </w:r>
          </w:p>
        </w:tc>
        <w:tc>
          <w:tcPr>
            <w:tcW w:w="2319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территориальной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доступности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15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Область применения</w:t>
            </w:r>
          </w:p>
        </w:tc>
      </w:tr>
      <w:tr w:rsidR="0030746C" w:rsidRPr="0030746C" w:rsidTr="004A4B8E">
        <w:tc>
          <w:tcPr>
            <w:tcW w:w="425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Автомобильные дороги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улично</w:t>
            </w:r>
            <w:r w:rsidR="00433A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дорожной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протяженности улично-дорожной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215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30746C" w:rsidRPr="0030746C" w:rsidTr="004A4B8E">
        <w:tc>
          <w:tcPr>
            <w:tcW w:w="425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4"/>
          </w:tcPr>
          <w:p w:rsidR="0030746C" w:rsidRPr="0030746C" w:rsidRDefault="0030746C" w:rsidP="0030746C">
            <w:pPr>
              <w:widowControl w:val="0"/>
              <w:spacing w:line="32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</w:tbl>
    <w:p w:rsidR="0030746C" w:rsidRPr="0030746C" w:rsidRDefault="0030746C" w:rsidP="0030746C">
      <w:pPr>
        <w:widowControl w:val="0"/>
        <w:tabs>
          <w:tab w:val="left" w:pos="1834"/>
        </w:tabs>
        <w:spacing w:after="0" w:line="322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tabs>
          <w:tab w:val="left" w:pos="1834"/>
        </w:tabs>
        <w:spacing w:after="0" w:line="322" w:lineRule="exact"/>
        <w:ind w:left="1200" w:right="3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ПОКАЗАТЕЛИ В ОБЛАСТИ ФИЗИЧЕСКОЙ КУЛЬТУРЫ И МАССОВОГО СПОРТА</w:t>
      </w:r>
    </w:p>
    <w:p w:rsidR="0030746C" w:rsidRPr="0030746C" w:rsidRDefault="0030746C" w:rsidP="0030746C">
      <w:pPr>
        <w:widowControl w:val="0"/>
        <w:tabs>
          <w:tab w:val="left" w:pos="1834"/>
        </w:tabs>
        <w:spacing w:after="0" w:line="322" w:lineRule="exact"/>
        <w:ind w:left="1200" w:right="3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30746C" w:rsidRPr="0030746C" w:rsidTr="004A4B8E">
        <w:tc>
          <w:tcPr>
            <w:tcW w:w="269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видов объектов местного </w:t>
            </w: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2409" w:type="dxa"/>
          </w:tcPr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Расчетные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объектами</w:t>
            </w:r>
          </w:p>
        </w:tc>
        <w:tc>
          <w:tcPr>
            <w:tcW w:w="2283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Расчетные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территориальной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21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 применения</w:t>
            </w:r>
          </w:p>
        </w:tc>
      </w:tr>
      <w:tr w:rsidR="0030746C" w:rsidRPr="0030746C" w:rsidTr="004A4B8E">
        <w:tc>
          <w:tcPr>
            <w:tcW w:w="269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</w:t>
            </w:r>
            <w:proofErr w:type="gramEnd"/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населенном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</w:t>
            </w:r>
            <w:proofErr w:type="gramEnd"/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численностью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более 80 чел.</w:t>
            </w:r>
          </w:p>
        </w:tc>
        <w:tc>
          <w:tcPr>
            <w:tcW w:w="2283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30746C" w:rsidRPr="0030746C" w:rsidTr="004A4B8E">
        <w:tc>
          <w:tcPr>
            <w:tcW w:w="9604" w:type="dxa"/>
            <w:gridSpan w:val="4"/>
          </w:tcPr>
          <w:p w:rsidR="0030746C" w:rsidRPr="0030746C" w:rsidRDefault="0030746C" w:rsidP="0030746C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30746C" w:rsidRPr="0030746C" w:rsidTr="004A4B8E">
        <w:tc>
          <w:tcPr>
            <w:tcW w:w="269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2409" w:type="dxa"/>
          </w:tcPr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</w:t>
            </w:r>
            <w:proofErr w:type="gramEnd"/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населенном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</w:t>
            </w:r>
            <w:proofErr w:type="gramEnd"/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более 40 чел.</w:t>
            </w:r>
          </w:p>
        </w:tc>
        <w:tc>
          <w:tcPr>
            <w:tcW w:w="2283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30746C" w:rsidRPr="0030746C" w:rsidTr="004A4B8E">
        <w:tc>
          <w:tcPr>
            <w:tcW w:w="9604" w:type="dxa"/>
            <w:gridSpan w:val="4"/>
          </w:tcPr>
          <w:p w:rsidR="0030746C" w:rsidRPr="0030746C" w:rsidRDefault="0030746C" w:rsidP="0030746C">
            <w:pPr>
              <w:widowControl w:val="0"/>
              <w:spacing w:line="32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30746C" w:rsidRPr="0030746C" w:rsidRDefault="0030746C" w:rsidP="0030746C">
      <w:pPr>
        <w:widowControl w:val="0"/>
        <w:tabs>
          <w:tab w:val="left" w:pos="1862"/>
        </w:tabs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tabs>
          <w:tab w:val="left" w:pos="1862"/>
        </w:tabs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ПОКАЗАТЕЛИ В ИНЫХ ОБЛАСТЯХ В СВЯЗИ С РЕШЕНИЕМ ВОПРОСОВ МЕСТНОГО ЗНАЧЕНИЯ ПОСЕЛЕНИЯ</w:t>
      </w:r>
    </w:p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432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видов объектов </w:t>
            </w: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01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 применения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30746C" w:rsidRPr="0030746C" w:rsidRDefault="0030746C" w:rsidP="0030746C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 объекта в каждом населенном пункте </w:t>
            </w: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предусматривает </w:t>
            </w: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оборудованные места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отдыха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30746C" w:rsidRPr="0030746C" w:rsidRDefault="0030746C" w:rsidP="0030746C">
            <w:pPr>
              <w:widowControl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объекта для каждого населенного пункта с числом</w:t>
            </w:r>
          </w:p>
          <w:p w:rsidR="0030746C" w:rsidRPr="0030746C" w:rsidRDefault="0030746C" w:rsidP="0030746C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spellStart"/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proofErr w:type="gram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библиотеки</w:t>
            </w:r>
          </w:p>
        </w:tc>
        <w:tc>
          <w:tcPr>
            <w:tcW w:w="2401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after="60" w:line="27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spacing w:line="27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 целесообразно размещать в населенном пункте, обеспеченном доступом в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сеть «Интернет»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Противопожарный водоем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Техническим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регламентом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менее 2 объектов для каждого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населенного пункта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числом жителей более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Радиус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обслуживания: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при наличии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автонасосов: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200 м;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при наличии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мотопомп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100 м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- 150 м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зависимости </w:t>
            </w:r>
            <w:proofErr w:type="gram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мотопомп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gridSpan w:val="2"/>
          </w:tcPr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применения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30746C" w:rsidRPr="0030746C" w:rsidRDefault="0030746C" w:rsidP="0030746C">
            <w:pPr>
              <w:widowControl w:val="0"/>
              <w:spacing w:after="296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поселение,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минимальной</w:t>
            </w:r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площадью</w:t>
            </w:r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участка:</w:t>
            </w:r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- 2 га;</w:t>
            </w:r>
          </w:p>
          <w:p w:rsidR="0030746C" w:rsidRPr="0030746C" w:rsidRDefault="0030746C" w:rsidP="0030746C">
            <w:pPr>
              <w:widowControl w:val="0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- 4 га.</w:t>
            </w:r>
          </w:p>
        </w:tc>
        <w:tc>
          <w:tcPr>
            <w:tcW w:w="2119" w:type="dxa"/>
            <w:gridSpan w:val="3"/>
          </w:tcPr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- не</w:t>
            </w:r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30 мин.</w:t>
            </w:r>
          </w:p>
        </w:tc>
        <w:tc>
          <w:tcPr>
            <w:tcW w:w="1990" w:type="dxa"/>
          </w:tcPr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</w:t>
            </w:r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генерального плана</w:t>
            </w:r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проекта</w:t>
            </w:r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планировки территории,</w:t>
            </w:r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вновь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создаваемые</w:t>
            </w:r>
            <w:proofErr w:type="gramEnd"/>
          </w:p>
          <w:p w:rsidR="0030746C" w:rsidRPr="0030746C" w:rsidRDefault="0030746C" w:rsidP="0030746C">
            <w:pPr>
              <w:widowControl w:val="0"/>
              <w:ind w:left="14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поселения:</w:t>
            </w:r>
          </w:p>
          <w:p w:rsidR="0030746C" w:rsidRPr="0030746C" w:rsidRDefault="0030746C" w:rsidP="0030746C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I применяется в качестве </w:t>
            </w:r>
            <w:proofErr w:type="gramStart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(минимального);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показатель II применяется на расчетный период.</w:t>
            </w: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2" w:type="dxa"/>
            <w:gridSpan w:val="2"/>
          </w:tcPr>
          <w:p w:rsidR="0030746C" w:rsidRPr="0030746C" w:rsidRDefault="0030746C" w:rsidP="0030746C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921" w:type="dxa"/>
          </w:tcPr>
          <w:p w:rsidR="0030746C" w:rsidRPr="0030746C" w:rsidRDefault="0030746C" w:rsidP="0030746C">
            <w:pPr>
              <w:widowControl w:val="0"/>
              <w:spacing w:line="322" w:lineRule="exac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совокупности, не менее 2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30746C" w:rsidRPr="0030746C" w:rsidRDefault="0030746C" w:rsidP="0030746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30746C" w:rsidRPr="0030746C" w:rsidRDefault="0030746C" w:rsidP="0030746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gridSpan w:val="2"/>
          </w:tcPr>
          <w:p w:rsidR="0030746C" w:rsidRPr="0030746C" w:rsidRDefault="0030746C" w:rsidP="0030746C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торговли</w:t>
            </w:r>
          </w:p>
        </w:tc>
        <w:tc>
          <w:tcPr>
            <w:tcW w:w="1921" w:type="dxa"/>
          </w:tcPr>
          <w:p w:rsidR="0030746C" w:rsidRPr="0030746C" w:rsidRDefault="0030746C" w:rsidP="0030746C">
            <w:pPr>
              <w:widowControl w:val="0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30746C" w:rsidRPr="0030746C" w:rsidRDefault="0030746C" w:rsidP="0030746C">
            <w:pPr>
              <w:widowControl w:val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доступность - не</w:t>
            </w:r>
          </w:p>
          <w:p w:rsidR="0030746C" w:rsidRPr="0030746C" w:rsidRDefault="0030746C" w:rsidP="0030746C">
            <w:pPr>
              <w:widowControl w:val="0"/>
              <w:ind w:lef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30746C" w:rsidRPr="0030746C" w:rsidRDefault="0030746C" w:rsidP="003074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0746C" w:rsidRPr="0030746C" w:rsidRDefault="0030746C" w:rsidP="0030746C">
      <w:pPr>
        <w:widowControl w:val="0"/>
        <w:tabs>
          <w:tab w:val="left" w:pos="470"/>
        </w:tabs>
        <w:spacing w:before="175" w:after="0" w:line="322" w:lineRule="exact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="00A339C1" w:rsidRPr="0030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ПОКАЗАТЕЛИ ДЛЯ ОБЪЕКТОВ БЛАГОУСТРОЙСТВА ТЕРРИТОРИИ ПОСЕЛЕНИЯ</w:t>
      </w:r>
    </w:p>
    <w:p w:rsidR="0030746C" w:rsidRPr="0030746C" w:rsidRDefault="0030746C" w:rsidP="0030746C">
      <w:pPr>
        <w:widowControl w:val="0"/>
        <w:tabs>
          <w:tab w:val="left" w:pos="470"/>
        </w:tabs>
        <w:spacing w:before="175" w:after="0" w:line="322" w:lineRule="exact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27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Расчетные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минимально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объектами</w:t>
            </w:r>
          </w:p>
        </w:tc>
        <w:tc>
          <w:tcPr>
            <w:tcW w:w="186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Расчетные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максимально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допустимого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</w:t>
            </w:r>
            <w:proofErr w:type="spellEnd"/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289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06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Уличное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27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7,20 км общей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протяженности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освещенных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частей улиц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каждые 50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метров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улично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дорожной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2289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генерального плана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поселения, проекта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планировки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территории.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Учитывается при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развития систем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коммуниальной</w:t>
            </w:r>
            <w:proofErr w:type="spellEnd"/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инфраструктуры.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30746C" w:rsidRPr="0030746C" w:rsidRDefault="0030746C" w:rsidP="0030746C">
            <w:pPr>
              <w:widowControl w:val="0"/>
              <w:spacing w:line="317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</w:tcPr>
          <w:p w:rsidR="0030746C" w:rsidRPr="0030746C" w:rsidRDefault="0030746C" w:rsidP="0030746C">
            <w:pPr>
              <w:widowControl w:val="0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озеленения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27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30746C" w:rsidRPr="0030746C" w:rsidRDefault="0030746C" w:rsidP="0030746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генерального плана поселения, проекта по планировке территории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30746C" w:rsidRPr="0030746C" w:rsidRDefault="0030746C" w:rsidP="0030746C">
            <w:pPr>
              <w:widowControl w:val="0"/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Озеленение осуществлять в соответствии с проектом благоустройства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</w:tcPr>
          <w:p w:rsidR="0030746C" w:rsidRPr="0030746C" w:rsidRDefault="0030746C" w:rsidP="0030746C">
            <w:pPr>
              <w:widowControl w:val="0"/>
              <w:spacing w:after="120" w:line="270" w:lineRule="exact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Детские </w:t>
            </w:r>
            <w:r w:rsidRPr="0030746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27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объектов для каждого населенного пункта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30746C" w:rsidRPr="0030746C" w:rsidRDefault="0030746C" w:rsidP="0030746C">
            <w:pPr>
              <w:widowControl w:val="0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проекта</w:t>
            </w:r>
          </w:p>
          <w:p w:rsidR="0030746C" w:rsidRPr="0030746C" w:rsidRDefault="0030746C" w:rsidP="0030746C">
            <w:pPr>
              <w:widowControl w:val="0"/>
              <w:ind w:left="9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30746C" w:rsidRPr="0030746C" w:rsidRDefault="0030746C" w:rsidP="0030746C">
            <w:pPr>
              <w:widowControl w:val="0"/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архитектурные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274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поселение</w:t>
            </w:r>
          </w:p>
        </w:tc>
        <w:tc>
          <w:tcPr>
            <w:tcW w:w="1868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нормируется</w:t>
            </w:r>
          </w:p>
        </w:tc>
        <w:tc>
          <w:tcPr>
            <w:tcW w:w="2289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</w:tr>
      <w:tr w:rsidR="0030746C" w:rsidRPr="0030746C" w:rsidTr="004A4B8E">
        <w:tc>
          <w:tcPr>
            <w:tcW w:w="567" w:type="dxa"/>
          </w:tcPr>
          <w:p w:rsidR="0030746C" w:rsidRPr="0030746C" w:rsidRDefault="0030746C" w:rsidP="003074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применения</w:t>
            </w:r>
          </w:p>
          <w:p w:rsidR="0030746C" w:rsidRPr="0030746C" w:rsidRDefault="0030746C" w:rsidP="0030746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30746C" w:rsidRPr="0030746C" w:rsidRDefault="0030746C" w:rsidP="0030746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0746C" w:rsidRDefault="00A23EA8" w:rsidP="003F5E36">
      <w:pPr>
        <w:keepNext/>
        <w:widowControl w:val="0"/>
        <w:spacing w:before="240" w:after="12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ГЛАВЫА</w:t>
      </w:r>
      <w:r w:rsidR="003F5E3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</w:t>
      </w:r>
      <w:r w:rsidR="003F5E3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 w:eastAsia="ru-RU"/>
        </w:rPr>
        <w:t>III</w:t>
      </w:r>
      <w:r w:rsidR="003F5E36" w:rsidRPr="003F5E3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.  </w:t>
      </w:r>
      <w:r w:rsidR="0030746C" w:rsidRPr="003074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НОРМАТИВНО-ПРАВОВАЯ БАЗА</w:t>
      </w:r>
    </w:p>
    <w:p w:rsidR="003F5E36" w:rsidRPr="0030746C" w:rsidRDefault="003F5E36" w:rsidP="003F5E36">
      <w:pPr>
        <w:keepNext/>
        <w:widowControl w:val="0"/>
        <w:spacing w:before="240" w:after="12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Федеральные законы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кодекс Российской Федерации от 29 декабря 2004 года № 190-ФЗ;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2001 года № 136-ФЗ;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Российской Федерации от 29 декабря 2004 года № 188-ФЗ;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кодекс Российской Федерации от 4 декабря 2006 года № 200-ФЗ;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14 марта 1995 года № 33-ФЗ «Об особо охраняемых природных территориях»;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12 января 1996 года № 8-ФЗ «О погребении и похоронном деле»;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мая 1999 года № 96-Ф3 «Об охране атмосферного воздуха»;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10 января 2002 года № 7-ФЗ «Об охране окружающей среды»;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 марта 2003 года № 35-ФЗ «Об электроэнергетике»;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июля 2003 года № 126-ФЗ «О связи»;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декабря 2007 № 329 «О физической культуре и спорте»;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190-ФЗ «О теплоснабжении»;  </w:t>
      </w:r>
    </w:p>
    <w:p w:rsidR="0030746C" w:rsidRPr="0030746C" w:rsidRDefault="0030746C" w:rsidP="003F5E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декабря 2011 года № 416-ФЗ «О водоснабжении и водоотведении».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нормативные акты Российской Федерации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46C" w:rsidRPr="0030746C" w:rsidRDefault="0030746C" w:rsidP="003F5E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30746C" w:rsidRPr="0030746C" w:rsidRDefault="0030746C" w:rsidP="003F5E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и особых условий использования земельных участков, расположенных в границах таких зон»;   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Законодательные и нормативные акты Иркутской области </w:t>
      </w:r>
    </w:p>
    <w:p w:rsidR="0030746C" w:rsidRPr="0030746C" w:rsidRDefault="0030746C" w:rsidP="003F5E3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Иркутской области от 17.04.2009 N 1; </w:t>
      </w:r>
    </w:p>
    <w:p w:rsidR="0030746C" w:rsidRPr="0030746C" w:rsidRDefault="0030746C" w:rsidP="003F5E3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30746C" w:rsidRPr="0030746C" w:rsidRDefault="0030746C" w:rsidP="003F5E3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30746C" w:rsidRPr="0030746C" w:rsidRDefault="0030746C" w:rsidP="003F5E3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стандарты Российской Федерации (ГОСТ)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51232-98. Вода питьевая. Общие требования к организации и методам контроля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качества.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17.5.3.04-83. Охрана природы. Земли. Общие требования к рекультивации земель.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17.5.1.01-83. Охрана природы. Рекультивация земель. Термины и определения. 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 </w:t>
      </w:r>
    </w:p>
    <w:p w:rsidR="0030746C" w:rsidRPr="0030746C" w:rsidRDefault="0030746C" w:rsidP="003F5E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52766-2007. Дороги автомобильные общего пользования. Элементы обустройства. Общие требования.  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нормы и правила (</w:t>
      </w:r>
      <w:proofErr w:type="spellStart"/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2.1.7.1287-03. Санитарно-эпидемиологические требования к качеству почвы.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2.1.5.980-00. Гигиенические требования к охране поверхностных вод.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2.1.5.1059-01. Гигиенические требования к охране подземных вод от загрязнения.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2.1.6.1032-01. Гигиенические требования к обеспечению качества атмосферного воздуха населенных мест. 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2.1.4.1175-02. Гигиенические требования к качеству воды нецентрализованного водоснабжения. Санитарная охрана источников.  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2.01.28-85. Полигоны по обезвреживанию и захоронению токсичных промышленных отходов. Основные положения по проектированию.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22-02-2003, приказом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30.06.2012г. № 274 утвержден и введен в действие с 01.01.2013г. СП 116.13330.2012г.).  </w:t>
      </w:r>
      <w:proofErr w:type="gramEnd"/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2.05.02-85. Автомобильные дороги.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 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42-128-4690-88. Санитарные правила содержания территорий населенных мест.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31-01-2003.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30746C" w:rsidRPr="0030746C" w:rsidRDefault="0030746C" w:rsidP="003F5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30-102-99. Планировка и застройка территорий малоэтажного жилищного строительства. 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Своды правил по проектированию и строительству (СП) </w:t>
      </w:r>
    </w:p>
    <w:p w:rsidR="0030746C" w:rsidRPr="0030746C" w:rsidRDefault="0030746C" w:rsidP="003F5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30746C" w:rsidRPr="0030746C" w:rsidRDefault="0030746C" w:rsidP="003F5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11-102-97. Инженерно-экологические изыскания для строительства. </w:t>
      </w:r>
    </w:p>
    <w:p w:rsidR="0030746C" w:rsidRPr="0030746C" w:rsidRDefault="0030746C" w:rsidP="003F5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30-102-99 Планировка и застройка территорий малоэтажного жилищного строительства. </w:t>
      </w:r>
    </w:p>
    <w:p w:rsidR="0030746C" w:rsidRPr="0030746C" w:rsidRDefault="0030746C" w:rsidP="003F5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Санитарные правила содержания территорий населенных мест. </w:t>
      </w:r>
    </w:p>
    <w:p w:rsidR="0030746C" w:rsidRPr="0030746C" w:rsidRDefault="0030746C" w:rsidP="003F5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 «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 Градостроительство. Планировка и застройка городских и сельских поселений»;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Стратегии, программы, прогноз социально-экономического развития Иркутской области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проекта местных нормативов </w:t>
      </w:r>
      <w:proofErr w:type="spell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Мухинского</w:t>
      </w:r>
      <w:proofErr w:type="spell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Чунского района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(2008-2020 гг.);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30746C" w:rsidRPr="0030746C" w:rsidRDefault="0030746C" w:rsidP="003F5E3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30746C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850" w:rsidRDefault="00D93850" w:rsidP="003F5E36">
      <w:pPr>
        <w:ind w:left="-567"/>
      </w:pPr>
      <w:bookmarkStart w:id="5" w:name="_GoBack"/>
      <w:bookmarkEnd w:id="5"/>
    </w:p>
    <w:sectPr w:rsidR="00D93850" w:rsidSect="007B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66BE1"/>
    <w:multiLevelType w:val="hybridMultilevel"/>
    <w:tmpl w:val="A50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035B6"/>
    <w:multiLevelType w:val="hybridMultilevel"/>
    <w:tmpl w:val="15D009AA"/>
    <w:lvl w:ilvl="0" w:tplc="A5BCC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4321"/>
    <w:multiLevelType w:val="hybridMultilevel"/>
    <w:tmpl w:val="2166B31C"/>
    <w:lvl w:ilvl="0" w:tplc="60E810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46121"/>
    <w:multiLevelType w:val="hybridMultilevel"/>
    <w:tmpl w:val="DA4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35E3"/>
    <w:multiLevelType w:val="hybridMultilevel"/>
    <w:tmpl w:val="15D009AA"/>
    <w:lvl w:ilvl="0" w:tplc="A5BCC9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C4D20"/>
    <w:multiLevelType w:val="hybridMultilevel"/>
    <w:tmpl w:val="FCA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D3B31"/>
    <w:multiLevelType w:val="hybridMultilevel"/>
    <w:tmpl w:val="FF16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343BA8"/>
    <w:multiLevelType w:val="hybridMultilevel"/>
    <w:tmpl w:val="ED4E75F0"/>
    <w:lvl w:ilvl="0" w:tplc="7CC4D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BF7740"/>
    <w:multiLevelType w:val="hybridMultilevel"/>
    <w:tmpl w:val="59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C07B4"/>
    <w:multiLevelType w:val="hybridMultilevel"/>
    <w:tmpl w:val="D52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681259"/>
    <w:multiLevelType w:val="hybridMultilevel"/>
    <w:tmpl w:val="194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6"/>
  </w:num>
  <w:num w:numId="10">
    <w:abstractNumId w:val="19"/>
  </w:num>
  <w:num w:numId="11">
    <w:abstractNumId w:val="14"/>
  </w:num>
  <w:num w:numId="12">
    <w:abstractNumId w:val="4"/>
  </w:num>
  <w:num w:numId="13">
    <w:abstractNumId w:val="24"/>
  </w:num>
  <w:num w:numId="14">
    <w:abstractNumId w:val="26"/>
  </w:num>
  <w:num w:numId="15">
    <w:abstractNumId w:val="30"/>
  </w:num>
  <w:num w:numId="16">
    <w:abstractNumId w:val="22"/>
  </w:num>
  <w:num w:numId="17">
    <w:abstractNumId w:val="1"/>
  </w:num>
  <w:num w:numId="18">
    <w:abstractNumId w:val="33"/>
  </w:num>
  <w:num w:numId="19">
    <w:abstractNumId w:val="10"/>
  </w:num>
  <w:num w:numId="20">
    <w:abstractNumId w:val="27"/>
  </w:num>
  <w:num w:numId="21">
    <w:abstractNumId w:val="21"/>
  </w:num>
  <w:num w:numId="22">
    <w:abstractNumId w:val="25"/>
  </w:num>
  <w:num w:numId="23">
    <w:abstractNumId w:val="34"/>
  </w:num>
  <w:num w:numId="24">
    <w:abstractNumId w:val="15"/>
  </w:num>
  <w:num w:numId="25">
    <w:abstractNumId w:val="2"/>
  </w:num>
  <w:num w:numId="26">
    <w:abstractNumId w:val="29"/>
  </w:num>
  <w:num w:numId="27">
    <w:abstractNumId w:val="12"/>
  </w:num>
  <w:num w:numId="28">
    <w:abstractNumId w:val="17"/>
  </w:num>
  <w:num w:numId="29">
    <w:abstractNumId w:val="20"/>
  </w:num>
  <w:num w:numId="30">
    <w:abstractNumId w:val="28"/>
  </w:num>
  <w:num w:numId="31">
    <w:abstractNumId w:val="32"/>
  </w:num>
  <w:num w:numId="32">
    <w:abstractNumId w:val="13"/>
  </w:num>
  <w:num w:numId="33">
    <w:abstractNumId w:val="8"/>
  </w:num>
  <w:num w:numId="34">
    <w:abstractNumId w:val="2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6C"/>
    <w:rsid w:val="000F5387"/>
    <w:rsid w:val="00183B8E"/>
    <w:rsid w:val="00305FCB"/>
    <w:rsid w:val="0030746C"/>
    <w:rsid w:val="003F5E36"/>
    <w:rsid w:val="00433ADD"/>
    <w:rsid w:val="004A4B8E"/>
    <w:rsid w:val="00511791"/>
    <w:rsid w:val="005D450D"/>
    <w:rsid w:val="007B6C44"/>
    <w:rsid w:val="0094459D"/>
    <w:rsid w:val="00A23EA8"/>
    <w:rsid w:val="00A339C1"/>
    <w:rsid w:val="00AF09AF"/>
    <w:rsid w:val="00D9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4"/>
  </w:style>
  <w:style w:type="paragraph" w:styleId="1">
    <w:name w:val="heading 1"/>
    <w:basedOn w:val="a"/>
    <w:next w:val="a"/>
    <w:link w:val="10"/>
    <w:uiPriority w:val="9"/>
    <w:qFormat/>
    <w:rsid w:val="0030746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46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746C"/>
  </w:style>
  <w:style w:type="character" w:customStyle="1" w:styleId="3Exact">
    <w:name w:val="Основной текст (3) Exact"/>
    <w:basedOn w:val="a0"/>
    <w:link w:val="3"/>
    <w:rsid w:val="0030746C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0746C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0746C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307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3074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30746C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1"/>
      <w:sz w:val="12"/>
      <w:szCs w:val="12"/>
    </w:rPr>
  </w:style>
  <w:style w:type="paragraph" w:customStyle="1" w:styleId="5">
    <w:name w:val="Основной текст (5)"/>
    <w:basedOn w:val="a"/>
    <w:link w:val="5Exact"/>
    <w:rsid w:val="0030746C"/>
    <w:pPr>
      <w:widowControl w:val="0"/>
      <w:shd w:val="clear" w:color="auto" w:fill="FFFFFF"/>
      <w:spacing w:before="360" w:after="0" w:line="0" w:lineRule="atLeast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30">
    <w:name w:val="Основной текст3"/>
    <w:basedOn w:val="a"/>
    <w:link w:val="a3"/>
    <w:rsid w:val="0030746C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3074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0746C"/>
    <w:pPr>
      <w:widowControl w:val="0"/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30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basedOn w:val="a3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3074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basedOn w:val="a3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307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30746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2"/>
    <w:basedOn w:val="a3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30746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30746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307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46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46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746C"/>
  </w:style>
  <w:style w:type="character" w:customStyle="1" w:styleId="3Exact">
    <w:name w:val="Основной текст (3) Exact"/>
    <w:basedOn w:val="a0"/>
    <w:link w:val="3"/>
    <w:rsid w:val="0030746C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0746C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0746C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307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3074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30746C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1"/>
      <w:sz w:val="12"/>
      <w:szCs w:val="12"/>
    </w:rPr>
  </w:style>
  <w:style w:type="paragraph" w:customStyle="1" w:styleId="5">
    <w:name w:val="Основной текст (5)"/>
    <w:basedOn w:val="a"/>
    <w:link w:val="5Exact"/>
    <w:rsid w:val="0030746C"/>
    <w:pPr>
      <w:widowControl w:val="0"/>
      <w:shd w:val="clear" w:color="auto" w:fill="FFFFFF"/>
      <w:spacing w:before="360" w:after="0" w:line="0" w:lineRule="atLeast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30">
    <w:name w:val="Основной текст3"/>
    <w:basedOn w:val="a"/>
    <w:link w:val="a3"/>
    <w:rsid w:val="0030746C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3074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0746C"/>
    <w:pPr>
      <w:widowControl w:val="0"/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30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3074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basedOn w:val="a3"/>
    <w:rsid w:val="00307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307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30746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2"/>
    <w:basedOn w:val="a3"/>
    <w:rsid w:val="00307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30746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30746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307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5</cp:revision>
  <dcterms:created xsi:type="dcterms:W3CDTF">2015-12-21T03:55:00Z</dcterms:created>
  <dcterms:modified xsi:type="dcterms:W3CDTF">2015-12-21T04:26:00Z</dcterms:modified>
</cp:coreProperties>
</file>